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2C88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30" w:lineRule="atLeast"/>
        <w:ind w:left="0" w:right="0"/>
        <w:rPr>
          <w:i w:val="0"/>
          <w:iCs w:val="0"/>
          <w:caps w:val="0"/>
          <w:color w:val="333333"/>
          <w:spacing w:val="0"/>
          <w:sz w:val="21"/>
          <w:szCs w:val="21"/>
          <w:bdr w:val="none" w:color="auto" w:sz="0" w:space="0"/>
          <w:shd w:val="clear" w:fill="FFFFFF"/>
        </w:rPr>
      </w:pPr>
      <w:r>
        <w:drawing>
          <wp:inline distT="0" distB="0" distL="114300" distR="114300">
            <wp:extent cx="5274310" cy="1062990"/>
            <wp:effectExtent l="0" t="0" r="254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274310" cy="1062990"/>
                    </a:xfrm>
                    <a:prstGeom prst="rect">
                      <a:avLst/>
                    </a:prstGeom>
                    <a:noFill/>
                    <a:ln>
                      <a:noFill/>
                    </a:ln>
                  </pic:spPr>
                </pic:pic>
              </a:graphicData>
            </a:graphic>
          </wp:inline>
        </w:drawing>
      </w:r>
    </w:p>
    <w:p w14:paraId="2E53B8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30" w:lineRule="atLeast"/>
        <w:ind w:left="0" w:right="0"/>
        <w:rPr>
          <w:sz w:val="21"/>
          <w:szCs w:val="21"/>
        </w:rPr>
      </w:pPr>
      <w:r>
        <w:rPr>
          <w:i w:val="0"/>
          <w:iCs w:val="0"/>
          <w:caps w:val="0"/>
          <w:color w:val="333333"/>
          <w:spacing w:val="0"/>
          <w:sz w:val="21"/>
          <w:szCs w:val="21"/>
          <w:bdr w:val="none" w:color="auto" w:sz="0" w:space="0"/>
          <w:shd w:val="clear" w:fill="FFFFFF"/>
        </w:rPr>
        <w:t>职位描述</w:t>
      </w:r>
    </w:p>
    <w:p w14:paraId="603ACF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30" w:lineRule="atLeast"/>
        <w:ind w:left="0" w:right="0"/>
      </w:pPr>
      <w:r>
        <w:rPr>
          <w:rFonts w:hint="eastAsia" w:ascii="微软雅黑" w:hAnsi="微软雅黑" w:eastAsia="微软雅黑" w:cs="微软雅黑"/>
          <w:i w:val="0"/>
          <w:iCs w:val="0"/>
          <w:caps w:val="0"/>
          <w:color w:val="333333"/>
          <w:spacing w:val="0"/>
          <w:sz w:val="21"/>
          <w:szCs w:val="21"/>
          <w:bdr w:val="none" w:color="auto" w:sz="0" w:space="0"/>
          <w:shd w:val="clear" w:fill="FFFFFF"/>
        </w:rPr>
        <w:t>岗位职责：</w:t>
      </w:r>
    </w:p>
    <w:p w14:paraId="4314915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1.热爱社会主义祖国，拥护中华人民共和国宪法，遵纪守法，品行端正，有良好的职业道德，爱岗敬业，事业心和</w:t>
      </w:r>
      <w:bookmarkStart w:id="0" w:name="_GoBack"/>
      <w:bookmarkEnd w:id="0"/>
      <w:r>
        <w:rPr>
          <w:rFonts w:hint="eastAsia" w:ascii="微软雅黑" w:hAnsi="微软雅黑" w:eastAsia="微软雅黑" w:cs="微软雅黑"/>
          <w:i w:val="0"/>
          <w:iCs w:val="0"/>
          <w:caps w:val="0"/>
          <w:color w:val="333333"/>
          <w:spacing w:val="0"/>
          <w:sz w:val="21"/>
          <w:szCs w:val="21"/>
          <w:bdr w:val="none" w:color="auto" w:sz="0" w:space="0"/>
          <w:shd w:val="clear" w:fill="FFFFFF"/>
        </w:rPr>
        <w:t>责任感强；</w:t>
      </w:r>
    </w:p>
    <w:p w14:paraId="6757144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2.身心健康，具有正常履行招聘岗位职责的身体条件；</w:t>
      </w:r>
    </w:p>
    <w:p w14:paraId="729A10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3.符合招聘岗位确定的其他条件。</w:t>
      </w:r>
    </w:p>
    <w:p w14:paraId="42FFFE5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Style w:val="6"/>
          <w:rFonts w:hint="eastAsia" w:ascii="微软雅黑" w:hAnsi="微软雅黑" w:eastAsia="微软雅黑" w:cs="微软雅黑"/>
          <w:i w:val="0"/>
          <w:iCs w:val="0"/>
          <w:caps w:val="0"/>
          <w:color w:val="333333"/>
          <w:spacing w:val="0"/>
          <w:sz w:val="21"/>
          <w:szCs w:val="21"/>
          <w:bdr w:val="none" w:color="auto" w:sz="0" w:space="0"/>
          <w:shd w:val="clear" w:fill="FFFFFF"/>
        </w:rPr>
        <w:t>（二）有下列情况之一者，不得应聘：</w:t>
      </w:r>
    </w:p>
    <w:p w14:paraId="7E1D67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1.曾受过各类刑事处罚的；</w:t>
      </w:r>
    </w:p>
    <w:p w14:paraId="0D87185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2.曾被开除公职的；</w:t>
      </w:r>
    </w:p>
    <w:p w14:paraId="61DE7F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3.有违法、违纪行为正在接受调查、审查的；</w:t>
      </w:r>
    </w:p>
    <w:p w14:paraId="769124E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3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4.按照《关于加快推进失信被执行人信用监督、警示和惩戒机制建设的意见》规定，由人民法院通过司法程序认定的失信被执行人。</w:t>
      </w:r>
    </w:p>
    <w:p w14:paraId="57C9D5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30" w:lineRule="atLeast"/>
        <w:ind w:left="0" w:right="0"/>
        <w:rPr>
          <w:sz w:val="21"/>
          <w:szCs w:val="21"/>
        </w:rPr>
      </w:pPr>
      <w:r>
        <w:rPr>
          <w:i w:val="0"/>
          <w:iCs w:val="0"/>
          <w:caps w:val="0"/>
          <w:color w:val="333333"/>
          <w:spacing w:val="0"/>
          <w:sz w:val="21"/>
          <w:szCs w:val="21"/>
          <w:bdr w:val="none" w:color="auto" w:sz="0" w:space="0"/>
          <w:shd w:val="clear" w:fill="FFFFFF"/>
        </w:rPr>
        <w:t>岗位要求：</w:t>
      </w:r>
    </w:p>
    <w:p w14:paraId="74E07B1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1.教育部直属重点师范院校（北京师范大学、华东师范大学、华中师范大学、东北师范大学、陕西师范大学、西南大学）和双一流大学应届毕业生，以及其他院校（四川师范大学、重庆师范大学、西华师范大学等）2025年优秀应届毕业生；</w:t>
      </w:r>
    </w:p>
    <w:p w14:paraId="6DC08F7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2.年龄原则上在30周岁及以下；</w:t>
      </w:r>
    </w:p>
    <w:p w14:paraId="61F5D6F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3.本科应届毕业生应在大学期间至少获得一等奖学金一次，中共党员、学生干部优先；</w:t>
      </w:r>
    </w:p>
    <w:p w14:paraId="4CEBC0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4.硕士、博士应届毕业生所学专业须与教师资格证任教学科一致；</w:t>
      </w:r>
    </w:p>
    <w:p w14:paraId="233B98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5.须在2026年7月31日前取得小学、初中（高中）应聘学科（专业）教师资格证。</w:t>
      </w:r>
    </w:p>
    <w:p w14:paraId="59C1E6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30" w:lineRule="atLeast"/>
        <w:ind w:left="0" w:right="0"/>
        <w:rPr>
          <w:sz w:val="21"/>
          <w:szCs w:val="21"/>
        </w:rPr>
      </w:pPr>
      <w:r>
        <w:rPr>
          <w:i w:val="0"/>
          <w:iCs w:val="0"/>
          <w:caps w:val="0"/>
          <w:color w:val="333333"/>
          <w:spacing w:val="0"/>
          <w:sz w:val="21"/>
          <w:szCs w:val="21"/>
          <w:bdr w:val="none" w:color="auto" w:sz="0" w:space="0"/>
          <w:shd w:val="clear" w:fill="FFFFFF"/>
        </w:rPr>
        <w:t>投递说明：</w:t>
      </w:r>
    </w:p>
    <w:p w14:paraId="7A1818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（一）在成都市新津区人民政府门户网站、高校校园网、学校微信公众号等发布招聘公告，筹备组进高校宣讲；</w:t>
      </w:r>
    </w:p>
    <w:p w14:paraId="59BB1C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二）前往高校应聘的人员现场组织初试，初试通过的高校毕业生和符合条件的在职教师，一并通知到嘉祥锦江校区按该校考核流程，经笔试、试讲、才艺展示、面谈，确定拟录用人选，并通知入职体检。学校教师招聘工作小组和成都市新津区教育局人事干部共同参与教师招聘工作；</w:t>
      </w:r>
    </w:p>
    <w:p w14:paraId="2491F8E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3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（四）体检、考察合格者即可签约（签约前均须签订《履约承诺书》）。</w:t>
      </w:r>
    </w:p>
    <w:p w14:paraId="697E4F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30" w:lineRule="atLeast"/>
        <w:ind w:left="0" w:right="0"/>
        <w:rPr>
          <w:sz w:val="21"/>
          <w:szCs w:val="21"/>
        </w:rPr>
      </w:pPr>
      <w:r>
        <w:rPr>
          <w:i w:val="0"/>
          <w:iCs w:val="0"/>
          <w:caps w:val="0"/>
          <w:color w:val="333333"/>
          <w:spacing w:val="0"/>
          <w:sz w:val="21"/>
          <w:szCs w:val="21"/>
          <w:bdr w:val="none" w:color="auto" w:sz="0" w:space="0"/>
          <w:shd w:val="clear" w:fill="FFFFFF"/>
        </w:rPr>
        <w:t>其他描述：</w:t>
      </w:r>
    </w:p>
    <w:p w14:paraId="1D9412E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Style w:val="6"/>
          <w:rFonts w:hint="eastAsia" w:ascii="微软雅黑" w:hAnsi="微软雅黑" w:eastAsia="微软雅黑" w:cs="微软雅黑"/>
          <w:i w:val="0"/>
          <w:iCs w:val="0"/>
          <w:caps w:val="0"/>
          <w:color w:val="333333"/>
          <w:spacing w:val="0"/>
          <w:sz w:val="21"/>
          <w:szCs w:val="21"/>
          <w:bdr w:val="none" w:color="auto" w:sz="0" w:space="0"/>
          <w:shd w:val="clear" w:fill="FFFFFF"/>
        </w:rPr>
        <w:t>岗前培训</w:t>
      </w:r>
    </w:p>
    <w:p w14:paraId="3877DE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Style w:val="6"/>
          <w:rFonts w:hint="eastAsia" w:ascii="微软雅黑" w:hAnsi="微软雅黑" w:eastAsia="微软雅黑" w:cs="微软雅黑"/>
          <w:i w:val="0"/>
          <w:iCs w:val="0"/>
          <w:caps w:val="0"/>
          <w:color w:val="333333"/>
          <w:spacing w:val="0"/>
          <w:sz w:val="21"/>
          <w:szCs w:val="21"/>
          <w:bdr w:val="none" w:color="auto" w:sz="0" w:space="0"/>
          <w:shd w:val="clear" w:fill="FFFFFF"/>
        </w:rPr>
        <w:t>（一）培训地点</w:t>
      </w:r>
    </w:p>
    <w:p w14:paraId="788CE40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85"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嘉祥锦江校区、嘉祥温江校区、新津区天府牧山学校</w:t>
      </w:r>
    </w:p>
    <w:p w14:paraId="50CCB35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40" w:lineRule="atLeast"/>
        <w:ind w:left="0" w:right="0" w:firstLine="480"/>
        <w:jc w:val="left"/>
      </w:pPr>
      <w:r>
        <w:rPr>
          <w:rStyle w:val="6"/>
          <w:rFonts w:hint="eastAsia" w:ascii="微软雅黑" w:hAnsi="微软雅黑" w:eastAsia="微软雅黑" w:cs="微软雅黑"/>
          <w:i w:val="0"/>
          <w:iCs w:val="0"/>
          <w:caps w:val="0"/>
          <w:color w:val="333333"/>
          <w:spacing w:val="0"/>
          <w:sz w:val="21"/>
          <w:szCs w:val="21"/>
          <w:bdr w:val="none" w:color="auto" w:sz="0" w:space="0"/>
          <w:shd w:val="clear" w:fill="FFFFFF"/>
        </w:rPr>
        <w:t>培训要求</w:t>
      </w:r>
    </w:p>
    <w:p w14:paraId="1499F4A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85"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全天跟岗培训（新大生）、团建（签约全员）</w:t>
      </w:r>
    </w:p>
    <w:p w14:paraId="453D318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85"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（二）</w:t>
      </w:r>
      <w:r>
        <w:rPr>
          <w:rStyle w:val="6"/>
          <w:rFonts w:hint="eastAsia" w:ascii="微软雅黑" w:hAnsi="微软雅黑" w:eastAsia="微软雅黑" w:cs="微软雅黑"/>
          <w:i w:val="0"/>
          <w:iCs w:val="0"/>
          <w:caps w:val="0"/>
          <w:color w:val="333333"/>
          <w:spacing w:val="0"/>
          <w:sz w:val="21"/>
          <w:szCs w:val="21"/>
          <w:bdr w:val="none" w:color="auto" w:sz="0" w:space="0"/>
          <w:shd w:val="clear" w:fill="FFFFFF"/>
        </w:rPr>
        <w:t>培训方式</w:t>
      </w:r>
    </w:p>
    <w:p w14:paraId="580BC54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85"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由我校副校长同承培单位教师发展中心共同负责。新大生签约后即参加培训，参培总时长不少于三个月。明确每周培训重点并全程督导、每周小结；组织每月至少一次汇报课展示；间周组织一次签约全体教师团建（线下线上交替），凝聚团队，传承文化，统一规范。</w:t>
      </w:r>
    </w:p>
    <w:p w14:paraId="1E9292E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85"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（三）</w:t>
      </w:r>
      <w:r>
        <w:rPr>
          <w:rStyle w:val="6"/>
          <w:rFonts w:hint="eastAsia" w:ascii="微软雅黑" w:hAnsi="微软雅黑" w:eastAsia="微软雅黑" w:cs="微软雅黑"/>
          <w:i w:val="0"/>
          <w:iCs w:val="0"/>
          <w:caps w:val="0"/>
          <w:color w:val="333333"/>
          <w:spacing w:val="0"/>
          <w:sz w:val="21"/>
          <w:szCs w:val="21"/>
          <w:bdr w:val="none" w:color="auto" w:sz="0" w:space="0"/>
          <w:shd w:val="clear" w:fill="FFFFFF"/>
        </w:rPr>
        <w:t>培训经费</w:t>
      </w:r>
    </w:p>
    <w:p w14:paraId="6EC6F52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585" w:lineRule="atLeast"/>
        <w:ind w:left="0" w:right="0" w:firstLine="48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参照嘉祥教育集团现行教师培训经费和新津区教育局教师培训相关要求，双方商定后实施；培训前签订《参培承诺书》，如因个人原因违约的，已产生的培训费由参培个人全额赔付。</w:t>
      </w:r>
    </w:p>
    <w:p w14:paraId="2FE6672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504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2025-09-03T07:40:22Z</dcterms:created>
  <dc:creator>admin</dc:creator>
  <cp:lastModifiedBy>王老师</cp:lastModifiedBy>
  <dcterms:modified xsi:type="dcterms:W3CDTF">2025-09-03T07:41:53Z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eyJoZGlkIjoiNWI2NmI0NTRjNGYyM2YwZmNiN2FjOTVkZDhlZmU4NmUiLCJ1c2VySWQiOiI0Mzc4MDE3MDQifQ==</vt:lpwstr>
  </property>
  <property fmtid="{D5CDD505-2E9C-101B-9397-08002B2CF9AE}" pid="4" name="ICV">
    <vt:lpwstr>A8D1B57548BD427BBF671AA6F21921F5_12</vt:lpwstr>
  </property>
</Properties>
</file>